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39C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“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数智文创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与品牌传播”微专业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招生简章</w:t>
      </w:r>
    </w:p>
    <w:p w14:paraId="70A9CA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一、专业简介</w:t>
      </w:r>
    </w:p>
    <w:p w14:paraId="7291C5A0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0" w:firstLine="476" w:firstLineChars="200"/>
        <w:jc w:val="left"/>
        <w:textAlignment w:val="baseline"/>
        <w:rPr>
          <w:spacing w:val="-1"/>
        </w:rPr>
      </w:pPr>
      <w:r>
        <w:rPr>
          <w:spacing w:val="-1"/>
        </w:rPr>
        <w:t>“</w:t>
      </w:r>
      <w:r>
        <w:rPr>
          <w:rFonts w:hint="eastAsia"/>
          <w:spacing w:val="-1"/>
          <w:lang w:val="en-US" w:eastAsia="zh-CN"/>
        </w:rPr>
        <w:t>数智文创</w:t>
      </w:r>
      <w:r>
        <w:rPr>
          <w:spacing w:val="-1"/>
        </w:rPr>
        <w:t>与品牌传播”微专业立足数智时代文创产业与品牌传播领域的发展需求，紧密对接泉州及海西经济区在文化创意开发、非遗活化传承、城市品牌塑造、企业品牌全媒传播等核心领域的实际人才缺口，聚焦数智文创设计与开发、数智影像制作、创意手作实践、文旅活动策划与运营、品牌整合传播五大核心能力，致力于培养具备坚定政治立场、深厚文化素养、敏锐创新意识，熟练掌握创意策划、数智技术应用、视觉设计、影像创作、品牌传播及文化服务技能，兼具扎实理论功底、较强实践能力与前瞻市场思维，能够在文创企业、传媒机构、文旅单位、品牌策划公司等相关领域，胜任数智文创产品开发、平面设计、影像制作、文旅活动策划运营、品牌全媒传播等工作的全媒化数智应用型文创与品牌传播人才。</w:t>
      </w:r>
    </w:p>
    <w:p w14:paraId="4615CF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二、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培养目标</w:t>
      </w:r>
    </w:p>
    <w:p w14:paraId="3F5B1072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0" w:firstLine="476" w:firstLineChars="200"/>
        <w:jc w:val="left"/>
        <w:textAlignment w:val="baseline"/>
        <w:rPr>
          <w:rFonts w:hint="default"/>
          <w:spacing w:val="-1"/>
          <w:lang w:val="en-US" w:eastAsia="zh-CN"/>
        </w:rPr>
      </w:pPr>
      <w:r>
        <w:rPr>
          <w:rFonts w:hint="default"/>
          <w:spacing w:val="-1"/>
          <w:lang w:val="en-US" w:eastAsia="zh-CN"/>
        </w:rPr>
        <w:t>坚持以马克思主义、习近平新时代中国特色社会主义思想为指导，以立德树人为人才培养总目标，</w:t>
      </w:r>
      <w:r>
        <w:rPr>
          <w:rFonts w:hint="eastAsia"/>
          <w:spacing w:val="-1"/>
          <w:lang w:val="en-US" w:eastAsia="zh-CN"/>
        </w:rPr>
        <w:t>立足数智时代对创意设计与品牌传播人才的需求，</w:t>
      </w:r>
      <w:r>
        <w:rPr>
          <w:rFonts w:hint="default"/>
          <w:spacing w:val="-1"/>
          <w:lang w:val="en-US" w:eastAsia="zh-CN"/>
        </w:rPr>
        <w:t>紧密对接泉州及海西经济区</w:t>
      </w:r>
      <w:r>
        <w:rPr>
          <w:rFonts w:hint="eastAsia"/>
          <w:spacing w:val="-1"/>
          <w:lang w:val="en-US" w:eastAsia="zh-CN"/>
        </w:rPr>
        <w:t>在</w:t>
      </w:r>
      <w:r>
        <w:rPr>
          <w:rFonts w:hint="default"/>
          <w:spacing w:val="-1"/>
          <w:lang w:val="en-US" w:eastAsia="zh-CN"/>
        </w:rPr>
        <w:t>文化创意</w:t>
      </w:r>
      <w:r>
        <w:rPr>
          <w:rFonts w:hint="eastAsia"/>
          <w:spacing w:val="-1"/>
          <w:lang w:val="en-US" w:eastAsia="zh-CN"/>
        </w:rPr>
        <w:t>、非遗保护、城市品牌塑造与企业品牌传播等领域的实际需要</w:t>
      </w:r>
      <w:r>
        <w:rPr>
          <w:rFonts w:hint="default"/>
          <w:spacing w:val="-1"/>
          <w:lang w:val="en-US" w:eastAsia="zh-CN"/>
        </w:rPr>
        <w:t>，聚焦</w:t>
      </w:r>
      <w:r>
        <w:rPr>
          <w:rFonts w:hint="eastAsia"/>
          <w:spacing w:val="-1"/>
          <w:lang w:val="en-US" w:eastAsia="zh-CN"/>
        </w:rPr>
        <w:t>数智文创设计与开发、</w:t>
      </w:r>
      <w:r>
        <w:rPr>
          <w:rFonts w:hint="default"/>
          <w:spacing w:val="-1"/>
          <w:lang w:val="en-US" w:eastAsia="zh-CN"/>
        </w:rPr>
        <w:t>影像制作</w:t>
      </w:r>
      <w:r>
        <w:rPr>
          <w:rFonts w:hint="eastAsia"/>
          <w:spacing w:val="-1"/>
          <w:lang w:val="en-US" w:eastAsia="zh-CN"/>
        </w:rPr>
        <w:t>、</w:t>
      </w:r>
      <w:r>
        <w:rPr>
          <w:rFonts w:hint="default"/>
          <w:spacing w:val="-1"/>
          <w:lang w:val="en-US" w:eastAsia="zh-CN"/>
        </w:rPr>
        <w:t>创意手</w:t>
      </w:r>
      <w:r>
        <w:rPr>
          <w:rFonts w:hint="eastAsia"/>
          <w:spacing w:val="-1"/>
          <w:lang w:val="en-US" w:eastAsia="zh-CN"/>
        </w:rPr>
        <w:t>工制</w:t>
      </w:r>
      <w:r>
        <w:rPr>
          <w:rFonts w:hint="default"/>
          <w:spacing w:val="-1"/>
          <w:lang w:val="en-US" w:eastAsia="zh-CN"/>
        </w:rPr>
        <w:t>作、文旅活动策划与运营五大核心能力，</w:t>
      </w:r>
      <w:r>
        <w:rPr>
          <w:rFonts w:hint="eastAsia"/>
          <w:spacing w:val="-1"/>
          <w:lang w:val="en-US" w:eastAsia="zh-CN"/>
        </w:rPr>
        <w:t>致力于</w:t>
      </w:r>
      <w:r>
        <w:rPr>
          <w:rFonts w:hint="default"/>
          <w:spacing w:val="-1"/>
          <w:lang w:val="en-US" w:eastAsia="zh-CN"/>
        </w:rPr>
        <w:t>培养</w:t>
      </w:r>
      <w:r>
        <w:rPr>
          <w:rFonts w:hint="eastAsia"/>
          <w:spacing w:val="-1"/>
          <w:lang w:val="en-US" w:eastAsia="zh-CN"/>
        </w:rPr>
        <w:t>具备</w:t>
      </w:r>
      <w:r>
        <w:rPr>
          <w:rFonts w:hint="default"/>
          <w:spacing w:val="-1"/>
          <w:lang w:val="en-US" w:eastAsia="zh-CN"/>
        </w:rPr>
        <w:t>创新意识</w:t>
      </w:r>
      <w:r>
        <w:rPr>
          <w:rFonts w:hint="eastAsia"/>
          <w:spacing w:val="-1"/>
          <w:lang w:val="en-US" w:eastAsia="zh-CN"/>
        </w:rPr>
        <w:t>，拥有创意</w:t>
      </w:r>
      <w:r>
        <w:rPr>
          <w:rFonts w:hint="default"/>
          <w:spacing w:val="-1"/>
          <w:lang w:val="en-US" w:eastAsia="zh-CN"/>
        </w:rPr>
        <w:t>策划、</w:t>
      </w:r>
      <w:r>
        <w:rPr>
          <w:rFonts w:hint="eastAsia"/>
          <w:spacing w:val="-1"/>
          <w:lang w:val="en-US" w:eastAsia="zh-CN"/>
        </w:rPr>
        <w:t>数智</w:t>
      </w:r>
      <w:r>
        <w:rPr>
          <w:rFonts w:hint="default"/>
          <w:spacing w:val="-1"/>
          <w:lang w:val="en-US" w:eastAsia="zh-CN"/>
        </w:rPr>
        <w:t>作品</w:t>
      </w:r>
      <w:r>
        <w:rPr>
          <w:rFonts w:hint="eastAsia"/>
          <w:spacing w:val="-1"/>
          <w:lang w:val="en-US" w:eastAsia="zh-CN"/>
        </w:rPr>
        <w:t>设计</w:t>
      </w:r>
      <w:r>
        <w:rPr>
          <w:rFonts w:hint="default"/>
          <w:spacing w:val="-1"/>
          <w:lang w:val="en-US" w:eastAsia="zh-CN"/>
        </w:rPr>
        <w:t>、</w:t>
      </w:r>
      <w:r>
        <w:rPr>
          <w:rFonts w:hint="eastAsia"/>
          <w:spacing w:val="-1"/>
          <w:lang w:val="en-US" w:eastAsia="zh-CN"/>
        </w:rPr>
        <w:t>影像作品制作、</w:t>
      </w:r>
      <w:r>
        <w:rPr>
          <w:rFonts w:hint="default"/>
          <w:spacing w:val="-1"/>
          <w:lang w:val="en-US" w:eastAsia="zh-CN"/>
        </w:rPr>
        <w:t>品牌传播</w:t>
      </w:r>
      <w:r>
        <w:rPr>
          <w:rFonts w:hint="eastAsia"/>
          <w:spacing w:val="-1"/>
          <w:lang w:val="en-US" w:eastAsia="zh-CN"/>
        </w:rPr>
        <w:t>及</w:t>
      </w:r>
      <w:r>
        <w:rPr>
          <w:rFonts w:hint="default"/>
          <w:spacing w:val="-1"/>
          <w:lang w:val="en-US" w:eastAsia="zh-CN"/>
        </w:rPr>
        <w:t>文化服务</w:t>
      </w:r>
      <w:r>
        <w:rPr>
          <w:rFonts w:hint="eastAsia"/>
          <w:spacing w:val="-1"/>
          <w:lang w:val="en-US" w:eastAsia="zh-CN"/>
        </w:rPr>
        <w:t>能力</w:t>
      </w:r>
      <w:r>
        <w:rPr>
          <w:rFonts w:hint="default"/>
          <w:spacing w:val="-1"/>
          <w:lang w:val="en-US" w:eastAsia="zh-CN"/>
        </w:rPr>
        <w:t>，兼具</w:t>
      </w:r>
      <w:r>
        <w:rPr>
          <w:rFonts w:hint="eastAsia"/>
          <w:spacing w:val="-1"/>
          <w:lang w:val="en-US" w:eastAsia="zh-CN"/>
        </w:rPr>
        <w:t>深厚</w:t>
      </w:r>
      <w:r>
        <w:rPr>
          <w:rFonts w:hint="default"/>
          <w:spacing w:val="-1"/>
          <w:lang w:val="en-US" w:eastAsia="zh-CN"/>
        </w:rPr>
        <w:t>文化内涵、</w:t>
      </w:r>
      <w:r>
        <w:rPr>
          <w:rFonts w:hint="eastAsia"/>
          <w:spacing w:val="-1"/>
          <w:lang w:val="en-US" w:eastAsia="zh-CN"/>
        </w:rPr>
        <w:t>扎实</w:t>
      </w:r>
      <w:r>
        <w:rPr>
          <w:rFonts w:hint="default"/>
          <w:spacing w:val="-1"/>
          <w:lang w:val="en-US" w:eastAsia="zh-CN"/>
        </w:rPr>
        <w:t>技术能力与</w:t>
      </w:r>
      <w:r>
        <w:rPr>
          <w:rFonts w:hint="eastAsia"/>
          <w:spacing w:val="-1"/>
          <w:lang w:val="en-US" w:eastAsia="zh-CN"/>
        </w:rPr>
        <w:t>敏锐</w:t>
      </w:r>
      <w:r>
        <w:rPr>
          <w:rFonts w:hint="default"/>
          <w:spacing w:val="-1"/>
          <w:lang w:val="en-US" w:eastAsia="zh-CN"/>
        </w:rPr>
        <w:t>市场思维的全媒化</w:t>
      </w:r>
      <w:r>
        <w:rPr>
          <w:rFonts w:hint="eastAsia"/>
          <w:spacing w:val="-1"/>
          <w:lang w:val="en-US" w:eastAsia="zh-CN"/>
        </w:rPr>
        <w:t>数智应用型</w:t>
      </w:r>
      <w:r>
        <w:rPr>
          <w:rFonts w:hint="default"/>
          <w:spacing w:val="-1"/>
          <w:lang w:val="en-US" w:eastAsia="zh-CN"/>
        </w:rPr>
        <w:t>人才。</w:t>
      </w:r>
    </w:p>
    <w:p w14:paraId="4EACBACE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师资队伍</w:t>
      </w:r>
    </w:p>
    <w:p w14:paraId="159F7A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 w:firstLine="476" w:firstLineChars="200"/>
        <w:jc w:val="left"/>
        <w:textAlignment w:val="auto"/>
        <w:rPr>
          <w:rFonts w:hint="eastAsia" w:eastAsia="宋体"/>
          <w:lang w:eastAsia="zh-CN"/>
        </w:rPr>
      </w:pPr>
      <w:r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  <w:t>本微专业的</w:t>
      </w:r>
      <w:r>
        <w:rPr>
          <w:rFonts w:hint="eastAsia" w:ascii="宋体" w:hAnsi="宋体" w:cs="宋体"/>
          <w:spacing w:val="-1"/>
          <w:kern w:val="2"/>
          <w:sz w:val="24"/>
          <w:szCs w:val="24"/>
          <w:lang w:val="en-US" w:eastAsia="zh-CN" w:bidi="ar-SA"/>
        </w:rPr>
        <w:t>7</w:t>
      </w:r>
      <w:r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  <w:t>门课程由21名任课教师共同承担，部分核心课程采取多位教师协同授课的模式。在这21名教师中，教授职称占比14.28%，副教授、讲师及业界资深导师构成核心教学力量，团队成员均持有博士或硕士学位。教师专业背景覆盖史学理论、新闻传播、文艺学、艺术设计、数字媒体技术、非遗传承、文旅运营等多个与数智文创、品牌传播紧密相关的领域。多数教师兼具丰富学术研究成果、一线媒体实践经验、政企项目合作经历与学科竞赛指导能力，其中不乏省级教学名师、高层次人才及业界知名专家，为课程教学提供了扎实的理论支撑与鲜活的实践案例。</w:t>
      </w:r>
    </w:p>
    <w:p w14:paraId="4AFCCA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四、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学制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与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学分</w:t>
      </w:r>
    </w:p>
    <w:p w14:paraId="2A8A0752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0" w:firstLine="476" w:firstLineChars="200"/>
        <w:jc w:val="left"/>
        <w:textAlignment w:val="baseline"/>
        <w:rPr>
          <w:rFonts w:hint="eastAsia"/>
          <w:spacing w:val="-1"/>
          <w:lang w:val="en-US" w:eastAsia="zh-CN"/>
        </w:rPr>
      </w:pPr>
      <w:r>
        <w:rPr>
          <w:rFonts w:hint="eastAsia"/>
          <w:spacing w:val="-1"/>
        </w:rPr>
        <w:t>学制：</w:t>
      </w:r>
      <w:r>
        <w:rPr>
          <w:rFonts w:hint="eastAsia"/>
          <w:spacing w:val="-1"/>
          <w:lang w:val="en-US" w:eastAsia="zh-CN"/>
        </w:rPr>
        <w:t>一年。</w:t>
      </w:r>
    </w:p>
    <w:p w14:paraId="13C3DFA8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0" w:firstLine="476" w:firstLineChars="200"/>
        <w:jc w:val="left"/>
        <w:textAlignment w:val="baseline"/>
        <w:rPr>
          <w:rFonts w:hint="eastAsia"/>
          <w:spacing w:val="-1"/>
          <w:lang w:eastAsia="zh-CN"/>
        </w:rPr>
      </w:pPr>
      <w:r>
        <w:rPr>
          <w:rFonts w:hint="eastAsia"/>
          <w:spacing w:val="-1"/>
        </w:rPr>
        <w:t>学分：1</w:t>
      </w:r>
      <w:r>
        <w:rPr>
          <w:rFonts w:hint="eastAsia"/>
          <w:spacing w:val="-1"/>
          <w:lang w:val="en-US" w:eastAsia="zh-CN"/>
        </w:rPr>
        <w:t>0</w:t>
      </w:r>
      <w:r>
        <w:rPr>
          <w:rFonts w:hint="eastAsia"/>
          <w:spacing w:val="-1"/>
        </w:rPr>
        <w:t>学分</w:t>
      </w:r>
      <w:r>
        <w:rPr>
          <w:rFonts w:hint="eastAsia"/>
          <w:spacing w:val="-1"/>
          <w:lang w:eastAsia="zh-CN"/>
        </w:rPr>
        <w:t>。</w:t>
      </w:r>
    </w:p>
    <w:p w14:paraId="6ABD0A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五、招生信息</w:t>
      </w:r>
    </w:p>
    <w:p w14:paraId="600B0A0B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0" w:firstLine="476" w:firstLineChars="200"/>
        <w:jc w:val="left"/>
        <w:textAlignment w:val="baseline"/>
        <w:rPr>
          <w:rFonts w:hint="eastAsia"/>
          <w:spacing w:val="-1"/>
          <w:lang w:val="en-US" w:eastAsia="zh-CN"/>
        </w:rPr>
      </w:pPr>
      <w:r>
        <w:rPr>
          <w:rFonts w:hint="eastAsia"/>
          <w:spacing w:val="-1"/>
          <w:lang w:val="en-US" w:eastAsia="zh-CN"/>
        </w:rPr>
        <w:t>1.计划</w:t>
      </w:r>
      <w:r>
        <w:rPr>
          <w:rFonts w:hint="eastAsia"/>
          <w:spacing w:val="-1"/>
        </w:rPr>
        <w:t>人数：</w:t>
      </w:r>
      <w:r>
        <w:rPr>
          <w:rFonts w:hint="eastAsia"/>
          <w:spacing w:val="-1"/>
          <w:lang w:val="en-US" w:eastAsia="zh-CN"/>
        </w:rPr>
        <w:t>30人。</w:t>
      </w:r>
    </w:p>
    <w:p w14:paraId="0B35B2DD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0" w:firstLine="476" w:firstLineChars="200"/>
        <w:jc w:val="left"/>
        <w:textAlignment w:val="baseline"/>
        <w:rPr>
          <w:rFonts w:hint="eastAsia"/>
          <w:spacing w:val="-1"/>
        </w:rPr>
      </w:pPr>
      <w:r>
        <w:rPr>
          <w:rFonts w:hint="eastAsia"/>
          <w:spacing w:val="-1"/>
          <w:lang w:val="en-US" w:eastAsia="zh-CN"/>
        </w:rPr>
        <w:t>2.</w:t>
      </w:r>
      <w:r>
        <w:rPr>
          <w:rFonts w:hint="eastAsia"/>
          <w:spacing w:val="-1"/>
        </w:rPr>
        <w:t>招生年级：</w:t>
      </w:r>
      <w:r>
        <w:rPr>
          <w:rFonts w:hint="eastAsia"/>
          <w:spacing w:val="-1"/>
          <w:lang w:val="en-US" w:eastAsia="zh-CN"/>
        </w:rPr>
        <w:t>全体在校本科生</w:t>
      </w:r>
      <w:r>
        <w:rPr>
          <w:rFonts w:hint="eastAsia"/>
          <w:spacing w:val="-1"/>
        </w:rPr>
        <w:t>。</w:t>
      </w:r>
    </w:p>
    <w:p w14:paraId="0D9913B7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0" w:firstLine="476" w:firstLineChars="200"/>
        <w:jc w:val="left"/>
        <w:textAlignment w:val="baseline"/>
        <w:rPr>
          <w:rFonts w:hint="eastAsia"/>
          <w:spacing w:val="-1"/>
        </w:rPr>
      </w:pPr>
      <w:r>
        <w:rPr>
          <w:rFonts w:hint="eastAsia"/>
          <w:spacing w:val="-1"/>
          <w:lang w:val="en-US" w:eastAsia="zh-CN"/>
        </w:rPr>
        <w:t>3.</w:t>
      </w:r>
      <w:r>
        <w:rPr>
          <w:rFonts w:hint="eastAsia"/>
          <w:spacing w:val="-1"/>
        </w:rPr>
        <w:t>专业要求：</w:t>
      </w:r>
      <w:r>
        <w:rPr>
          <w:rFonts w:hint="eastAsia"/>
          <w:spacing w:val="-1"/>
          <w:lang w:val="en-US" w:eastAsia="zh-CN"/>
        </w:rPr>
        <w:t>不限</w:t>
      </w:r>
      <w:r>
        <w:rPr>
          <w:rFonts w:hint="eastAsia"/>
          <w:spacing w:val="-1"/>
        </w:rPr>
        <w:t>。</w:t>
      </w:r>
    </w:p>
    <w:p w14:paraId="35115E89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0" w:firstLine="476" w:firstLineChars="200"/>
        <w:jc w:val="left"/>
        <w:textAlignment w:val="baseline"/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  <w:t>4.学业要求：</w:t>
      </w:r>
      <w:r>
        <w:rPr>
          <w:rFonts w:hint="default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  <w:t>申请者须为</w:t>
      </w:r>
      <w:r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  <w:t>仰恩大学</w:t>
      </w:r>
      <w:r>
        <w:rPr>
          <w:rFonts w:hint="default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  <w:t>全日制在读学生，政治立场坚定，思想品德优良，遵守校纪校规，无任何违法违纪及学术不端记录。</w:t>
      </w:r>
    </w:p>
    <w:p w14:paraId="450F19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六、学习安排</w:t>
      </w:r>
    </w:p>
    <w:p w14:paraId="458030BE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0" w:firstLine="476" w:firstLineChars="200"/>
        <w:jc w:val="left"/>
        <w:textAlignment w:val="baseline"/>
        <w:rPr>
          <w:rFonts w:hint="eastAsia"/>
          <w:spacing w:val="-1"/>
        </w:rPr>
      </w:pPr>
      <w:r>
        <w:rPr>
          <w:rFonts w:hint="eastAsia"/>
          <w:spacing w:val="-1"/>
        </w:rPr>
        <w:t>1.组织形式</w:t>
      </w:r>
    </w:p>
    <w:p w14:paraId="62BB4562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0" w:firstLine="476" w:firstLineChars="200"/>
        <w:jc w:val="left"/>
        <w:textAlignment w:val="baseline"/>
        <w:rPr>
          <w:rFonts w:hint="eastAsia"/>
          <w:spacing w:val="-1"/>
        </w:rPr>
      </w:pPr>
      <w:r>
        <w:rPr>
          <w:rFonts w:hint="eastAsia"/>
          <w:spacing w:val="-1"/>
        </w:rPr>
        <w:t>独立开班：每专业方向满30人即单独编班，配备专职班主任，按固定课表开展线下教学。</w:t>
      </w:r>
    </w:p>
    <w:p w14:paraId="2C4B141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Chars="200" w:right="0" w:rightChars="0"/>
        <w:jc w:val="left"/>
        <w:textAlignment w:val="baseline"/>
        <w:rPr>
          <w:rFonts w:hint="eastAsia"/>
          <w:spacing w:val="-1"/>
          <w:lang w:val="en-US" w:eastAsia="zh-CN"/>
        </w:rPr>
      </w:pPr>
      <w:r>
        <w:rPr>
          <w:rFonts w:hint="eastAsia"/>
          <w:spacing w:val="-1"/>
          <w:lang w:val="en-US" w:eastAsia="zh-CN"/>
        </w:rPr>
        <w:t>2.教学计划进度表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2016"/>
        <w:gridCol w:w="636"/>
        <w:gridCol w:w="636"/>
        <w:gridCol w:w="846"/>
        <w:gridCol w:w="636"/>
        <w:gridCol w:w="636"/>
        <w:gridCol w:w="636"/>
        <w:gridCol w:w="636"/>
      </w:tblGrid>
      <w:tr w14:paraId="2027C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tblHeader/>
          <w:jc w:val="center"/>
        </w:trPr>
        <w:tc>
          <w:tcPr>
            <w:tcW w:w="0" w:type="auto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508BF6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6985</wp:posOffset>
                      </wp:positionV>
                      <wp:extent cx="1708150" cy="872490"/>
                      <wp:effectExtent l="1905" t="4445" r="4445" b="18415"/>
                      <wp:wrapNone/>
                      <wp:docPr id="1" name="直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08150" cy="87249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3" o:spid="_x0000_s1026" o:spt="20" style="position:absolute;left:0pt;margin-left:-5.15pt;margin-top:0.55pt;height:68.7pt;width:134.5pt;z-index:251659264;mso-width-relative:page;mso-height-relative:page;" filled="f" stroked="t" coordsize="21600,21600" o:gfxdata="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ySPo6dYAAAAJAQAADwAAAAAAAAABACAAAAAiAAAAZHJzL2Rvd25yZXYueG1sUEsBAhQAFAAAAAgA&#10;h07iQPXPWiXuAQAA4AMAAA4AAAAAAAAAAQAgAAAAJQEAAGRycy9lMm9Eb2MueG1sUEsFBgAAAAAG&#10;AAYAWQEAAIU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0" w:type="auto"/>
            <w:vMerge w:val="restart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3ED7C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考核</w:t>
            </w:r>
          </w:p>
        </w:tc>
        <w:tc>
          <w:tcPr>
            <w:tcW w:w="0" w:type="auto"/>
            <w:vMerge w:val="restart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BC584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学分</w:t>
            </w:r>
          </w:p>
        </w:tc>
        <w:tc>
          <w:tcPr>
            <w:tcW w:w="0" w:type="auto"/>
            <w:vMerge w:val="restart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88D3A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总学时</w:t>
            </w:r>
          </w:p>
        </w:tc>
        <w:tc>
          <w:tcPr>
            <w:tcW w:w="0" w:type="auto"/>
            <w:vMerge w:val="restart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6800C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理论</w:t>
            </w:r>
          </w:p>
        </w:tc>
        <w:tc>
          <w:tcPr>
            <w:tcW w:w="0" w:type="auto"/>
            <w:vMerge w:val="restart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B7008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实验</w:t>
            </w:r>
          </w:p>
        </w:tc>
        <w:tc>
          <w:tcPr>
            <w:tcW w:w="0" w:type="auto"/>
            <w:gridSpan w:val="2"/>
            <w:tcBorders>
              <w:left w:val="nil"/>
              <w:bottom w:val="single" w:color="auto" w:sz="4" w:space="0"/>
            </w:tcBorders>
            <w:noWrap w:val="0"/>
            <w:vAlign w:val="center"/>
          </w:tcPr>
          <w:p w14:paraId="43C51236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开课学期</w:t>
            </w:r>
          </w:p>
        </w:tc>
      </w:tr>
      <w:tr w14:paraId="2652C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tblHeader/>
          <w:jc w:val="center"/>
        </w:trPr>
        <w:tc>
          <w:tcPr>
            <w:tcW w:w="0" w:type="auto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32A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pacing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13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pacing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062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pacing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30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pacing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5D7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pacing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30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pacing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7D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pacing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秋季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62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pacing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夏季</w:t>
            </w:r>
          </w:p>
        </w:tc>
      </w:tr>
      <w:tr w14:paraId="67A22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04BA568B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课程名称</w:t>
            </w:r>
          </w:p>
        </w:tc>
        <w:tc>
          <w:tcPr>
            <w:tcW w:w="0" w:type="auto"/>
            <w:noWrap w:val="0"/>
            <w:vAlign w:val="center"/>
          </w:tcPr>
          <w:p w14:paraId="622363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文化创意产业概论</w:t>
            </w:r>
          </w:p>
        </w:tc>
        <w:tc>
          <w:tcPr>
            <w:tcW w:w="0" w:type="auto"/>
            <w:noWrap w:val="0"/>
            <w:vAlign w:val="center"/>
          </w:tcPr>
          <w:p w14:paraId="31B391EC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考查</w:t>
            </w:r>
          </w:p>
        </w:tc>
        <w:tc>
          <w:tcPr>
            <w:tcW w:w="0" w:type="auto"/>
            <w:noWrap w:val="0"/>
            <w:vAlign w:val="center"/>
          </w:tcPr>
          <w:p w14:paraId="2B2F11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726082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0" w:type="auto"/>
            <w:noWrap w:val="0"/>
            <w:vAlign w:val="center"/>
          </w:tcPr>
          <w:p w14:paraId="0EBD61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0" w:type="auto"/>
            <w:noWrap w:val="0"/>
            <w:vAlign w:val="center"/>
          </w:tcPr>
          <w:p w14:paraId="3CD48C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noWrap w:val="0"/>
            <w:vAlign w:val="center"/>
          </w:tcPr>
          <w:p w14:paraId="6238FD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6F773A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28EBF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0" w:type="auto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2C04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pacing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noWrap w:val="0"/>
            <w:vAlign w:val="center"/>
          </w:tcPr>
          <w:p w14:paraId="27F45C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非物质文化遗产专题</w:t>
            </w:r>
          </w:p>
        </w:tc>
        <w:tc>
          <w:tcPr>
            <w:tcW w:w="0" w:type="auto"/>
            <w:noWrap w:val="0"/>
            <w:vAlign w:val="center"/>
          </w:tcPr>
          <w:p w14:paraId="66ED9D5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考查</w:t>
            </w:r>
          </w:p>
        </w:tc>
        <w:tc>
          <w:tcPr>
            <w:tcW w:w="0" w:type="auto"/>
            <w:noWrap w:val="0"/>
            <w:vAlign w:val="center"/>
          </w:tcPr>
          <w:p w14:paraId="488988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0A3E4B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0" w:type="auto"/>
            <w:noWrap w:val="0"/>
            <w:vAlign w:val="center"/>
          </w:tcPr>
          <w:p w14:paraId="0AB193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0" w:type="auto"/>
            <w:noWrap w:val="0"/>
            <w:vAlign w:val="center"/>
          </w:tcPr>
          <w:p w14:paraId="69F360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536EBF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7C4245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35748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0" w:type="auto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5883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pacing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noWrap w:val="0"/>
            <w:vAlign w:val="center"/>
          </w:tcPr>
          <w:p w14:paraId="191E97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产品3D创意设计与制作</w:t>
            </w:r>
          </w:p>
        </w:tc>
        <w:tc>
          <w:tcPr>
            <w:tcW w:w="0" w:type="auto"/>
            <w:noWrap w:val="0"/>
            <w:vAlign w:val="center"/>
          </w:tcPr>
          <w:p w14:paraId="6F3F922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考查</w:t>
            </w:r>
          </w:p>
        </w:tc>
        <w:tc>
          <w:tcPr>
            <w:tcW w:w="0" w:type="auto"/>
            <w:noWrap w:val="0"/>
            <w:vAlign w:val="center"/>
          </w:tcPr>
          <w:p w14:paraId="044BF8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 w14:paraId="4B0867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0" w:type="auto"/>
            <w:noWrap w:val="0"/>
            <w:vAlign w:val="center"/>
          </w:tcPr>
          <w:p w14:paraId="6E02BD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64E29F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0" w:type="auto"/>
            <w:noWrap w:val="0"/>
            <w:vAlign w:val="center"/>
          </w:tcPr>
          <w:p w14:paraId="0F48D8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 w14:paraId="04DFB1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</w:pPr>
          </w:p>
        </w:tc>
      </w:tr>
      <w:tr w14:paraId="3FCF2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0" w:type="auto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19A8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pacing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noWrap w:val="0"/>
            <w:vAlign w:val="center"/>
          </w:tcPr>
          <w:p w14:paraId="2CDEE3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动态影像制作</w:t>
            </w:r>
          </w:p>
        </w:tc>
        <w:tc>
          <w:tcPr>
            <w:tcW w:w="0" w:type="auto"/>
            <w:noWrap w:val="0"/>
            <w:vAlign w:val="center"/>
          </w:tcPr>
          <w:p w14:paraId="626C52D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考查</w:t>
            </w:r>
          </w:p>
        </w:tc>
        <w:tc>
          <w:tcPr>
            <w:tcW w:w="0" w:type="auto"/>
            <w:noWrap w:val="0"/>
            <w:vAlign w:val="center"/>
          </w:tcPr>
          <w:p w14:paraId="73F65F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 w14:paraId="360F48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0" w:type="auto"/>
            <w:noWrap w:val="0"/>
            <w:vAlign w:val="center"/>
          </w:tcPr>
          <w:p w14:paraId="6B6256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4C3430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0" w:type="auto"/>
            <w:noWrap w:val="0"/>
            <w:vAlign w:val="center"/>
          </w:tcPr>
          <w:p w14:paraId="7695E1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2227C0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  <w:t>2</w:t>
            </w:r>
          </w:p>
        </w:tc>
      </w:tr>
      <w:tr w14:paraId="01A32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0" w:type="auto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E598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pacing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noWrap w:val="0"/>
            <w:vAlign w:val="center"/>
          </w:tcPr>
          <w:p w14:paraId="65A4E8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创意手作</w:t>
            </w:r>
          </w:p>
        </w:tc>
        <w:tc>
          <w:tcPr>
            <w:tcW w:w="0" w:type="auto"/>
            <w:noWrap w:val="0"/>
            <w:vAlign w:val="center"/>
          </w:tcPr>
          <w:p w14:paraId="7E50935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考查</w:t>
            </w:r>
          </w:p>
        </w:tc>
        <w:tc>
          <w:tcPr>
            <w:tcW w:w="0" w:type="auto"/>
            <w:noWrap w:val="0"/>
            <w:vAlign w:val="center"/>
          </w:tcPr>
          <w:p w14:paraId="3F6730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4FB32A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0" w:type="auto"/>
            <w:noWrap w:val="0"/>
            <w:vAlign w:val="center"/>
          </w:tcPr>
          <w:p w14:paraId="25A8C1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03DDC2A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0" w:type="auto"/>
            <w:noWrap w:val="0"/>
            <w:vAlign w:val="center"/>
          </w:tcPr>
          <w:p w14:paraId="77C3A4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4C804C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</w:pPr>
          </w:p>
        </w:tc>
      </w:tr>
      <w:tr w14:paraId="6084B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0" w:type="auto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86463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pacing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noWrap w:val="0"/>
            <w:vAlign w:val="center"/>
          </w:tcPr>
          <w:p w14:paraId="789BF5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文旅项目策划与运营</w:t>
            </w:r>
          </w:p>
        </w:tc>
        <w:tc>
          <w:tcPr>
            <w:tcW w:w="0" w:type="auto"/>
            <w:noWrap w:val="0"/>
            <w:vAlign w:val="center"/>
          </w:tcPr>
          <w:p w14:paraId="2FE3369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考查</w:t>
            </w:r>
          </w:p>
        </w:tc>
        <w:tc>
          <w:tcPr>
            <w:tcW w:w="0" w:type="auto"/>
            <w:noWrap w:val="0"/>
            <w:vAlign w:val="center"/>
          </w:tcPr>
          <w:p w14:paraId="42FF61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 w14:paraId="0DE247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0" w:type="auto"/>
            <w:noWrap w:val="0"/>
            <w:vAlign w:val="center"/>
          </w:tcPr>
          <w:p w14:paraId="5DE034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7EFDBD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0" w:type="auto"/>
            <w:noWrap w:val="0"/>
            <w:vAlign w:val="center"/>
          </w:tcPr>
          <w:p w14:paraId="78A34A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368A3C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  <w:t>2</w:t>
            </w:r>
          </w:p>
        </w:tc>
      </w:tr>
      <w:tr w14:paraId="77C42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0" w:type="auto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49CB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pacing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0" w:type="auto"/>
            <w:noWrap w:val="0"/>
            <w:vAlign w:val="center"/>
          </w:tcPr>
          <w:p w14:paraId="601206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文旅（文博）项目考察</w:t>
            </w:r>
          </w:p>
        </w:tc>
        <w:tc>
          <w:tcPr>
            <w:tcW w:w="0" w:type="auto"/>
            <w:noWrap w:val="0"/>
            <w:vAlign w:val="center"/>
          </w:tcPr>
          <w:p w14:paraId="345E660D">
            <w:pPr>
              <w:jc w:val="center"/>
              <w:rPr>
                <w:rFonts w:hint="eastAsia" w:ascii="宋体" w:hAnsi="宋体" w:eastAsia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考查</w:t>
            </w:r>
          </w:p>
        </w:tc>
        <w:tc>
          <w:tcPr>
            <w:tcW w:w="0" w:type="auto"/>
            <w:noWrap w:val="0"/>
            <w:vAlign w:val="center"/>
          </w:tcPr>
          <w:p w14:paraId="2B4860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3FCB38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0" w:type="auto"/>
            <w:noWrap w:val="0"/>
            <w:vAlign w:val="center"/>
          </w:tcPr>
          <w:p w14:paraId="0B462C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0" w:type="auto"/>
            <w:noWrap w:val="0"/>
            <w:vAlign w:val="center"/>
          </w:tcPr>
          <w:p w14:paraId="4CA717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="宋体" w:hAnsi="宋体" w:eastAsia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0" w:type="auto"/>
            <w:noWrap w:val="0"/>
            <w:vAlign w:val="center"/>
          </w:tcPr>
          <w:p w14:paraId="0B7288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default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36DA00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pacing w:val="-10"/>
                <w:sz w:val="18"/>
                <w:szCs w:val="18"/>
                <w:lang w:val="en-US" w:eastAsia="zh-CN"/>
              </w:rPr>
            </w:pPr>
          </w:p>
        </w:tc>
      </w:tr>
      <w:tr w14:paraId="1EABA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0" w:type="auto"/>
            <w:gridSpan w:val="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CE668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合计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048D8FF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763F7B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160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2D3E22B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2B77A62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122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5548A5E8">
            <w:pPr>
              <w:widowControl/>
              <w:jc w:val="center"/>
              <w:textAlignment w:val="center"/>
              <w:rPr>
                <w:rFonts w:hint="default" w:ascii="宋体" w:hAnsi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4E3F9173">
            <w:pPr>
              <w:widowControl/>
              <w:jc w:val="center"/>
              <w:textAlignment w:val="center"/>
              <w:rPr>
                <w:rFonts w:hint="default" w:ascii="宋体" w:hAnsi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</w:tr>
    </w:tbl>
    <w:p w14:paraId="4843A6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六、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 xml:space="preserve">结业条件 </w:t>
      </w:r>
    </w:p>
    <w:p w14:paraId="4CBB65E0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0" w:firstLine="476" w:firstLineChars="200"/>
        <w:jc w:val="left"/>
        <w:textAlignment w:val="baseline"/>
        <w:rPr>
          <w:rFonts w:hint="eastAsia" w:eastAsia="宋体"/>
          <w:lang w:eastAsia="zh-CN"/>
        </w:rPr>
      </w:pPr>
      <w:r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  <w:t>学生在</w:t>
      </w:r>
      <w:r>
        <w:rPr>
          <w:rFonts w:hint="eastAsia" w:cs="宋体"/>
          <w:spacing w:val="-1"/>
          <w:kern w:val="2"/>
          <w:sz w:val="24"/>
          <w:szCs w:val="24"/>
          <w:lang w:val="en-US" w:eastAsia="zh-CN" w:bidi="ar-SA"/>
        </w:rPr>
        <w:t>一</w:t>
      </w:r>
      <w:r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  <w:t>年修读年限内，按“数智文创与品牌传播”微专业人才培养方案要求完成全部课程修读，经审核合格后，将获得加盖学校公章的“数智文创与品牌传播”微专业结业证书。若学生在主修专业毕业或结业时，未修满该微专业人才培养方案规定的课程学分，</w:t>
      </w:r>
      <w:r>
        <w:rPr>
          <w:rFonts w:hint="eastAsia" w:ascii="宋体" w:hAnsi="宋体" w:eastAsia="宋体" w:cs="宋体"/>
          <w:spacing w:val="-1"/>
          <w:kern w:val="2"/>
          <w:sz w:val="24"/>
          <w:szCs w:val="24"/>
          <w:highlight w:val="none"/>
          <w:lang w:val="en-US" w:eastAsia="zh-CN" w:bidi="ar-SA"/>
        </w:rPr>
        <w:t>其所修课程的</w:t>
      </w:r>
      <w:r>
        <w:rPr>
          <w:rFonts w:hint="eastAsia" w:cs="宋体"/>
          <w:spacing w:val="-1"/>
          <w:kern w:val="2"/>
          <w:sz w:val="24"/>
          <w:szCs w:val="24"/>
          <w:highlight w:val="none"/>
          <w:lang w:val="en-US" w:eastAsia="zh-CN" w:bidi="ar-SA"/>
        </w:rPr>
        <w:t>学分可申请认定专业拓展课学分</w:t>
      </w:r>
      <w:r>
        <w:rPr>
          <w:rFonts w:hint="eastAsia" w:ascii="宋体" w:hAnsi="宋体" w:eastAsia="宋体" w:cs="宋体"/>
          <w:spacing w:val="-1"/>
          <w:kern w:val="2"/>
          <w:sz w:val="24"/>
          <w:szCs w:val="24"/>
          <w:highlight w:val="none"/>
          <w:lang w:val="en-US" w:eastAsia="zh-CN" w:bidi="ar-SA"/>
        </w:rPr>
        <w:t>，</w:t>
      </w:r>
      <w:r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  <w:t>但不发放微专业结业证书。</w:t>
      </w:r>
    </w:p>
    <w:p w14:paraId="013090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七、报名方式</w:t>
      </w:r>
    </w:p>
    <w:p w14:paraId="478CBEF9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0" w:firstLine="476" w:firstLineChars="200"/>
        <w:jc w:val="left"/>
        <w:textAlignment w:val="baseline"/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  <w:t>申请者需按要求提交报名支撑材料（如相关作品、项目说明、获奖证书等），学院组织所有通过资格审查的报名者进行面试考核。学院将组织专家评审小组进行面试，最终依据面试成绩（百分制）由高到低排序，择优录取。具体报名流程及要求以学院本年度通知为准。</w:t>
      </w:r>
    </w:p>
    <w:p w14:paraId="7C7C3110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0" w:firstLine="476" w:firstLineChars="200"/>
        <w:jc w:val="left"/>
        <w:textAlignment w:val="baseline"/>
        <w:rPr>
          <w:rFonts w:hint="default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</w:pPr>
      <w:r>
        <w:rPr>
          <w:rFonts w:hint="eastAsia" w:cs="宋体"/>
          <w:spacing w:val="-1"/>
          <w:kern w:val="2"/>
          <w:sz w:val="24"/>
          <w:szCs w:val="24"/>
          <w:lang w:val="en-US" w:eastAsia="zh-CN" w:bidi="ar-SA"/>
        </w:rPr>
        <w:t>如需了解更多信息，请联系仰恩大学新区行政楼三楼人文学院办公室，联系人：谭老师；联系电话：0595-22099012。</w:t>
      </w:r>
    </w:p>
    <w:p w14:paraId="331366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八、其他说明</w:t>
      </w:r>
    </w:p>
    <w:p w14:paraId="3872AF81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0" w:firstLine="476" w:firstLineChars="200"/>
        <w:jc w:val="left"/>
        <w:textAlignment w:val="baseline"/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  <w:t>1.修读微专业的学生不变更主修专业学籍，学生管理仍由主修专业所在学院负责。</w:t>
      </w:r>
    </w:p>
    <w:p w14:paraId="403978B5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0" w:firstLine="476" w:firstLineChars="200"/>
        <w:jc w:val="left"/>
        <w:textAlignment w:val="baseline"/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  <w:t>2.微专业不延长学习年限，学生主修专业学业结束，无论毕业或者结业离校，微专业学习同时终止。</w:t>
      </w:r>
    </w:p>
    <w:p w14:paraId="69D06256">
      <w:pPr>
        <w:pStyle w:val="6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right="0" w:firstLine="476" w:firstLineChars="200"/>
        <w:jc w:val="left"/>
        <w:textAlignment w:val="baseline"/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pacing w:val="-1"/>
          <w:kern w:val="2"/>
          <w:sz w:val="24"/>
          <w:szCs w:val="24"/>
          <w:lang w:val="en-US" w:eastAsia="zh-CN" w:bidi="ar-SA"/>
        </w:rPr>
        <w:t>3.微专业结业证书不进行国家统一的学历电子注册。</w:t>
      </w:r>
    </w:p>
    <w:p w14:paraId="172109B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</w:p>
    <w:p w14:paraId="01A9FAE4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60" w:lineRule="auto"/>
        <w:ind w:left="0" w:right="0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28EB8BE2">
      <w:pPr>
        <w:spacing w:line="360" w:lineRule="auto"/>
        <w:ind w:firstLine="6240" w:firstLineChars="26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人文学院</w:t>
      </w:r>
    </w:p>
    <w:p w14:paraId="27E56366">
      <w:pPr>
        <w:spacing w:line="360" w:lineRule="auto"/>
        <w:ind w:firstLine="5760" w:firstLineChars="24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2025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日</w:t>
      </w:r>
    </w:p>
    <w:p w14:paraId="1E628DDC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360" w:lineRule="auto"/>
        <w:ind w:left="0" w:right="0"/>
        <w:rPr>
          <w:rFonts w:hint="eastAsia" w:ascii="宋体" w:hAnsi="宋体" w:eastAsia="宋体" w:cs="宋体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92123F"/>
    <w:multiLevelType w:val="singleLevel"/>
    <w:tmpl w:val="B592123F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NWY5NzkyYzRjY2U3ZjE3NzAwZjlmN2JiZWEzYjAifQ=="/>
  </w:docVars>
  <w:rsids>
    <w:rsidRoot w:val="00BE16FA"/>
    <w:rsid w:val="00BE16FA"/>
    <w:rsid w:val="02076F1C"/>
    <w:rsid w:val="039F6A18"/>
    <w:rsid w:val="08811171"/>
    <w:rsid w:val="0A3C3768"/>
    <w:rsid w:val="0A892BC4"/>
    <w:rsid w:val="0C2C2F8B"/>
    <w:rsid w:val="0D911007"/>
    <w:rsid w:val="0DCB34F3"/>
    <w:rsid w:val="10D64689"/>
    <w:rsid w:val="1122021F"/>
    <w:rsid w:val="132F1E2E"/>
    <w:rsid w:val="141D437D"/>
    <w:rsid w:val="16783AEC"/>
    <w:rsid w:val="196B7938"/>
    <w:rsid w:val="1B214753"/>
    <w:rsid w:val="1CAE7ED9"/>
    <w:rsid w:val="1CD8529B"/>
    <w:rsid w:val="1CFE11EF"/>
    <w:rsid w:val="1E842F43"/>
    <w:rsid w:val="1F572E39"/>
    <w:rsid w:val="22434957"/>
    <w:rsid w:val="226023B4"/>
    <w:rsid w:val="226D03A4"/>
    <w:rsid w:val="243F20A2"/>
    <w:rsid w:val="25984CDC"/>
    <w:rsid w:val="260D7EA1"/>
    <w:rsid w:val="2681329C"/>
    <w:rsid w:val="28106698"/>
    <w:rsid w:val="28BC5ABB"/>
    <w:rsid w:val="28DA0111"/>
    <w:rsid w:val="297A6AE3"/>
    <w:rsid w:val="2BB94533"/>
    <w:rsid w:val="2DB0354B"/>
    <w:rsid w:val="2E506688"/>
    <w:rsid w:val="322A5B69"/>
    <w:rsid w:val="327B0795"/>
    <w:rsid w:val="332C09BE"/>
    <w:rsid w:val="359B5BDE"/>
    <w:rsid w:val="374B4F89"/>
    <w:rsid w:val="37B0617D"/>
    <w:rsid w:val="38344F41"/>
    <w:rsid w:val="38D90201"/>
    <w:rsid w:val="38F3691F"/>
    <w:rsid w:val="391B6BDD"/>
    <w:rsid w:val="39757387"/>
    <w:rsid w:val="3A45133D"/>
    <w:rsid w:val="3B926F37"/>
    <w:rsid w:val="3FFF2A05"/>
    <w:rsid w:val="416A0352"/>
    <w:rsid w:val="426C3C56"/>
    <w:rsid w:val="44B738AE"/>
    <w:rsid w:val="48425B85"/>
    <w:rsid w:val="497B1D9E"/>
    <w:rsid w:val="4ADE7849"/>
    <w:rsid w:val="4AF77FAB"/>
    <w:rsid w:val="4B6505E5"/>
    <w:rsid w:val="4D442741"/>
    <w:rsid w:val="4D740A47"/>
    <w:rsid w:val="4E9E5A79"/>
    <w:rsid w:val="4ECC7CA4"/>
    <w:rsid w:val="4F073603"/>
    <w:rsid w:val="4F530A3F"/>
    <w:rsid w:val="4FB84D2E"/>
    <w:rsid w:val="50DD19BA"/>
    <w:rsid w:val="50EB115A"/>
    <w:rsid w:val="53646EF7"/>
    <w:rsid w:val="54085E99"/>
    <w:rsid w:val="54DC1919"/>
    <w:rsid w:val="587B7CC9"/>
    <w:rsid w:val="599140C8"/>
    <w:rsid w:val="5C77044D"/>
    <w:rsid w:val="5D9440E8"/>
    <w:rsid w:val="5E160F34"/>
    <w:rsid w:val="5FF10301"/>
    <w:rsid w:val="60332F65"/>
    <w:rsid w:val="61683172"/>
    <w:rsid w:val="62045801"/>
    <w:rsid w:val="641E0DFC"/>
    <w:rsid w:val="65F06B78"/>
    <w:rsid w:val="66E355FB"/>
    <w:rsid w:val="69C77671"/>
    <w:rsid w:val="6AEE41CC"/>
    <w:rsid w:val="6FEE4515"/>
    <w:rsid w:val="71EF5B86"/>
    <w:rsid w:val="723920F5"/>
    <w:rsid w:val="757F5473"/>
    <w:rsid w:val="75C9246F"/>
    <w:rsid w:val="75DF5F11"/>
    <w:rsid w:val="780762E9"/>
    <w:rsid w:val="781D092D"/>
    <w:rsid w:val="78E01030"/>
    <w:rsid w:val="79A8555A"/>
    <w:rsid w:val="7B9D2AF7"/>
    <w:rsid w:val="7BCB1412"/>
    <w:rsid w:val="7C071E99"/>
    <w:rsid w:val="7D672145"/>
    <w:rsid w:val="7D823D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5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4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7">
    <w:name w:val="Body Text Indent"/>
    <w:basedOn w:val="1"/>
    <w:qFormat/>
    <w:uiPriority w:val="99"/>
    <w:pPr>
      <w:spacing w:line="560" w:lineRule="exact"/>
      <w:ind w:firstLine="600"/>
    </w:pPr>
    <w:rPr>
      <w:rFonts w:ascii="Times New Roman" w:hAnsi="Times New Roman" w:eastAsia="仿宋_GB2312" w:cs="Times New Roman"/>
      <w:sz w:val="30"/>
      <w:szCs w:val="20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_Style 13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5">
    <w:name w:val="_Style 14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6">
    <w:name w:val="Table Paragraph"/>
    <w:basedOn w:val="1"/>
    <w:qFormat/>
    <w:uiPriority w:val="1"/>
    <w:pPr>
      <w:autoSpaceDE w:val="0"/>
      <w:autoSpaceDN w:val="0"/>
      <w:jc w:val="left"/>
    </w:pPr>
    <w:rPr>
      <w:rFonts w:ascii="仿宋" w:hAnsi="仿宋" w:eastAsia="仿宋" w:cs="仿宋"/>
      <w:kern w:val="0"/>
      <w:sz w:val="22"/>
      <w:szCs w:val="22"/>
      <w:lang w:val="zh-CN" w:bidi="zh-CN"/>
    </w:rPr>
  </w:style>
  <w:style w:type="table" w:customStyle="1" w:styleId="1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liujh\Documents\&#36817;&#26399;&#24613;&#21150;&#30340;&#24037;&#203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近期急办的工作</Template>
  <Pages>3</Pages>
  <Words>1624</Words>
  <Characters>1701</Characters>
  <Lines>1</Lines>
  <Paragraphs>1</Paragraphs>
  <TotalTime>1</TotalTime>
  <ScaleCrop>false</ScaleCrop>
  <LinksUpToDate>false</LinksUpToDate>
  <CharactersWithSpaces>1702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2019-03-24T10:05:00Z</dcterms:created>
  <dc:creator>geliujh</dc:creator>
  <cp:lastModifiedBy>Amy</cp:lastModifiedBy>
  <cp:lastPrinted>2025-12-29T07:02:00Z</cp:lastPrinted>
  <dcterms:modified xsi:type="dcterms:W3CDTF">2026-01-07T08:41:12Z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53ADF85408FA4BC7B7ACBB04C8C8A285_13</vt:lpwstr>
  </property>
  <property fmtid="{D5CDD505-2E9C-101B-9397-08002B2CF9AE}" pid="4" name="KSOTemplateDocerSaveRecord">
    <vt:lpwstr>eyJoZGlkIjoiYWJjYzBlZDU4ZjI2ZDY2M2ViYTBhZDBmZGFkZGUyZWEiLCJ1c2VySWQiOiIzNTM3NjA5OTgifQ==</vt:lpwstr>
  </property>
</Properties>
</file>